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tried to convince his family and bring the firefighter back to the US Skyscraper,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they didn't do that, asking him to stop. When I came back to Rafah and saw my house in ruins and the people around me, I felt a lot of sadness. I used to go to Khanyounis and come back to Amal and his house. I used to come back to his house and remember his old memories. All his memories were in his house and the house is gone. Everything is gone. When you see your house in ruins, you feel sad. Thank God for everything. What do you feel when you see your house in ruins? Sadness, a lot of sadness.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our house. Four floors. Thank God, everything fell to the ground. I don't know why. There is no resistance here. The people are normal. The houses are all here. I don't know why the house was bombed. We don't know. We don't know why the house was bombed. What do you feel when you see your house in ruins? It is very difficult. I don't know where to go. I don't know what to do. I don't know what to do. The house is in ruins. The people are ruined. Our future is ruined. The youth are ruined. There is no future. No education. No health. There is no life. For more UN videos visit www.un.org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displaced Palestinians find as they begin to return home.mp4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