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Milley durante la campaña presidencial. Precisamente Milley llegó a la Casa Rosada apoyado por los grandes productores agropecuarios. Se estima ahora que esta medida que tendrá un costo fiscal de unos 800 millones de dólares alivia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productos del agro representaron más del 60 por ciento del volumen de las exportaciones de argentina en 2024 y esto se traduce en importantes ingresos fiscales para el estado. Durante dos décadas las retenciones fueron una de las principales fuentes de divisas para el país. El presidente Milley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Entendemos la situación por el presupuesto de la sequía y de la baja del precio de los commodities. Ahora bien, me encantaría poder, por supuesto, eliminarlas a cero y permanentemente. Ahora eso implicaría tener un superávit equivalente a los 8 mil millones de dólares que hoy no tenemos.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uno de los principales productores mundiales de materias primas agrícolas, retienen impuestos más del 30 por ciento de las ventas externas de granos. Según el anuncio del gobierno, la tasa bajará en algunos casos en torno al 7 por ciento como la soja y en otros la reducción rondará entre el 1,5 por ciento y el 2,5 por ciento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baja el impuesto a los exportadores agrarios.mp4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