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hoy China ha confirmado que logró su meta de crecimiento en 2024. La economía habría alcanzado el 5% de crecimiento, pero la noticia no está exenta de dudas sobre si este dato realmente refleja la salud económica del gigante asiático. El ritmo de crecimiento del PIB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Y a todo esto, las cosas podrían complicarse aún más para Pekín a partir del lunes, cuando Donald Trump asuma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Rosa David, muchísimas gracias por el análisis y muy buen fin de semana para ti. Bueno, y como nos contaba nuestro compañero, después de publicarse el dato de crecimiento de China, han resurgido las dudas sobre si las cifras se corresponden con la realidad o más bien Pekín está inflando las cifras de su PIB. El think tank estadounidense Rhodium Group, por ejemplo, calcula que la economía china habría crecido casi la mitad a la cifra dada a conocer por las autoridades.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sector inmobiliario llegó a representar un 25% del PIB de China, pero entonces llegó la crisis inmobiliaria, espoleada por la bancarrota del gigante Evergrande. La construcción de inmuebles es hoy cerca de un 70% menor que en 2021. Y esa es una de las razones por las que analistas consideran que las últimas cifras de crecimiento de China son demasiado buenas para ser verdad. En los últimos tres años, no solo en 2024, el crecimiento de China ha sido sobreestimado porque realmente nada ha compensado el descenso de la inversión inmobiliaria y en infraestructuras del gobierno. Pekín asegura que la economía creció un 5% en 2024, alcanzando así su objetivo. Pero el think tank estadounidense Rhodium considera que el crecimiento real está entre un 2,4 y un 2,8%. Las cifras económicas infladas por Pekín no son algo nuevo. Economistas creen que las estadísticas oficiales están distorsionadas desde hace años. China mantiene que medidas de estímulo, como el recorte de los tipos de interés hipotecario o programas de apoyo para préstamos, estimularon el crecimiento del gigante asiático. Pero el nivel de consumo es la mitad de lo que era en 2023. Es el resultado de una caída de los precios domésticos que ha generado una reducción de los beneficios empresariales y de los salarios, un creciente desempleo e incertidumbre 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consumidores.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este punto, el freno al consumo limita el crecimiento de la renta de los hogares. ¿Cómo aumentar la renta de los hogares de forma sostenible a largo plazo y cómo hacer que se distribuya más equitativamente? Eso requiere una reforma fiscal, requiere cambios estructurales en la forma en el que el sistema recauda impuestos y cómo redistribuye esos ingresos fiscales a los hogares, y también en cómo grava el consumo y el sector servicios, todo ello en lugar de un crecimiento impulsado por la inversión. Recuperar la confianza de los consumidores llevará tiempo en China y también una reforma de largo plazo.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crece 5 en 2024 y logra meta fijada por las autoridades.mp4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