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Pocas obras de infraestructura cambiaron tanto el mundo como el Canal de Panamá, un atajo para la mercancía global que une el Océano Pacífico con el Atlántico. Estas exclusas fueron puestas en funcionamiento en 1914 y los panameños las conocen como el Canal Antiguo.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Ya en manos panameña el canal decide que era justo y necesario tener una ampliación en el canal debido a la demanda mundial de los buques. Estos buques estaban construyéndose mucho más grandes y nosotros necesitábamos ver la manera de poder aceptar a estos clientes por el canal. Esto se da en el 2016 cuando se culmina la construcción de la ampliación del canal.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Durante más de 80 años el canal y sus alrededores fueron controlados por Estados Unidos. Los panameños tenían prohibido el ingreso a menos de que tuvieran un permiso especial.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¿Cuándo yo soñé que esto podía suceder si no podíamos entrar al área canalera? Era prohibido para todos los panameños estar en el área canalera.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Para los panameños el control sobre el canal es más que un asunto económico, es una demostración de su propia soberanía nacional. Hace más de 25 años que el Tratado Torrijos-Carter estableció el control panameño sobre el canal que cobra las tarifas de paso de barcos, dependiendo de las dimensiones y los usos de la embarcación. Los 25 años de administración panameña significaron un aumento en los ingresos que recibe el país, que el año pasado ascendieron a 2.470 millones de dólares.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Hemos comprobado al mundo no solamente que podemos administrar bien el canal, sino que sin necesidad de los Estados Unidos y de ninguna otra nación construimos una ampliación que hoy representa el 55% de los ingresos del canal, o sea, más de lo que es el canal viejo que construyeron los americanos. Y eso no nos quita a nadie.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canal sigue siendo una empresa estatal que por ley panameña solo puede ser operada por sus nacionales.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Panamá insiste en la neutralidad del uso del canal.mp4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