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en manos panameña el canal decide que era justo y necesario tener una ampliación en el canal debido a la demanda mundial de los buques. Estos buques estaban construyéndose mucho más grandes y nosotros necesitábamos ver la manera de poder aceptar a estos clientes por el canal. Esto se da en el 2016 cuando se culmina la construcción de la ampliación del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¿Cuándo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sigue siendo una empresa estatal que por ley panameña solo puede ser operada por sus 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Panamá insiste en la neutralidad del uso del canal.mp4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