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nouvelle fois sur son réseau social favori que Donald Trump a dégainé sa dernière menace. Elle cible une fois de plus un allié, le Canada. Le président américain promet 100% de droits de douane à Ottawa si le Canada ne revient pas sur son accord commercial conclu avec la Chine. La cause de cette nouvelle colère de Donald Trump, cette visite de Mark Carney, le premier ministre canadien, à Pékin, pour sceller un accord historique visant à renforcer les liens économiques entre les deux pays. Une nouvelle étape dans les tensions opposant Canada et Etats-Unis. A Davos, lors du Forum économique mondial, le président américain avait répondu à un discours offensif du premier ministre canadien, l'excluant ensuite de son Conseil pour la paix. Il a depuis affirmé que le Canada n'existait que grâce aux Etats-Unis. Réponse cinglante de Mark Carney.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 Canada et les Etats-Unis ont bâti un partenariat. Un partenariat remarquable en matière d'économie, de sécurité, mais aussi avec des échanges culturels très riches. Mais le Canada n'existe pas grâce aux Etats-Unis. Le Canada prospère car nous sommes canadiens.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Dès le début de son second mandat, Donald Trump n'a pas caché sa volonté de faire du Canada le 51e Etat américain. Une menace mise de côté pour l'instant. Pourtant, la sphère magas s'impatiente et porte son regard sur une province canadienne, l'Alberta. Riche en pétrole et conservatrice, elle abrite aussi une minorité souhaitant l'indépendance. A l'image de cette organisation, l'Alberta Prosperity Project. Cette dernière a lancé une campagne visant à recueillir les signatures nécessaires à l'organisation d'un référendum d'indépendance. Une initiative qui a toutefois peu de chances d'aboutir. La première ministre conservatrice de la province, Danielle Smith, qui a autorisé cette pétition, entretient des relations étroites avec Donald Trump. Elle a donc déclaré qu'elle n'aurait pas besoin de l'indépendance. Elle a été reçue par le président américain dans sa résidence de Mar-a-Lago peu avant son retour à la Maison-Blanche.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menace le Canada de surtaxes en cas daccord commercial avec la Chine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XmuecS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