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 Mercosur, 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 un peu avant cette conférence de presse aux Indiens.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Le monde en parle comme l'accord de tous les accords. Il offre des opportunités majeures à 1,4 milliard d'Indiens et des millions d'Européens.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Il faut quand même rappeler que ce traité de libre-échange, c'était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donc. Ça prête à être signé entre l'Union européenne et l'Inde. Et quoi de mieux que le Republic Day, le jour de la République, hier, pour terminer ces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Albon Alvarez, vous restez avec nous, avec nous sur ce plateau Christophe Dansette. Bonjour Christophe.</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Alors l'accord, il va éliminer plus de 90 millions d'euros. 90% des droits de douane, 4 milliards d'euros de barrières douanières qui vont être supprimés.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alors dans un nombre limité, 250 000 voitures, qui vont pouvoir passer de 110% de droits de douane aujourd'hui à progressivement 10%, pas tout de suite, mais dans les prochaines années. C'est un point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Deux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aux frontières,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pour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Elle a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qu'un monde fracturé, que dans un monde fracturé, bien qu'il y ait d'autres voies possibles. Alors, on peut parler bien entendu de la concurrence commune aussi avec la Chine, mais clairement, la guerre commerciale, qui a été menée par Donald Trump, a servi d'accélérateur aux diplomates européens et indiens pour trouver, négocier plus rapidement cet accord, cet accord,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Accord IndeUE  un partenariat économique majeur pour réduire les tarifs douaniers.mp4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AngmHO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