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on vous parle ce soir des poursuites judiciaires engagées par le Rwanda contre le Royaume-Uni. Kigali conteste la suspension de paiements dans le cadre d'un accord controversé visant à accueillir des migrants expulsés. Un accord abandonné par Londres en 2024. Le gouvernement rwandais réclame un solde de 100 millions de livres sterling. La correspondance à Kigali de Juliette Monti.</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Entre le Rwanda et le Royaume-Uni, une saga qui n'en finit pas depuis l'annulation du partenariat migratoire entre les deux pays. Dernier épisode, Kigali poursuit Londres devant la cour permanente d'arbitrage de la haie. Au cœur du litige, deux versements de 50 millions de livres sterling dont Londres ne s'est pas acquitté. L'accord migratoire conclu entre les deux pays, rappelons-le, prévoyait l'expulsion de migrants illégaux vers le Rwanda qui en contrepartie devait recevoir un paiement. Mais ce contrat a été annulé en 2024 par le gouvernement travailliste, alors tout juste arrivé au pouvoir à Londres. Pour les Rwandais qui avaient déjà perçu 240 millions de livres, cette rupture ayant été unilatérale et n'ayant pas respecté les clauses prévues à cet effet, ces montants restent dus. Les relations entre les deux pays se sont largement détériorées l'année dernière quand Londres a par ailleurs suspendu une grande partie de son aide en raison du rôle de Kigali dans la guerre en RDC. Kigali qui cherche de plus en plus à se placer comme une solution clé en main pour les pays occidentaux souhaitant sous-traiter leur politique migratoire.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Rwanda  Kigali poursuit Londres en justice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eOZWR7xY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