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CDAO a fini par lever ses dernières sanctions contre la Guinée après l'élection de Mamadi Doumbouia à la présidence du pays fin décembre. Les sanctions avaient été imposées à la suite du coup d'État de 2021 qui avait renversé le président Alpha Kondé. Le bloc ouest-africain permet ainsi la réintégration de la Guinée en son sein, tout en appelant les autorités à renforcer la démocratie et la bonne gouvernance. Le point avec notre correspondant à Conakry, Malik Diakité.</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La CDAO justifie sa décision par juste site la tenue réussie du référendum constitutionnel du 21 septembre 2025 et de l'élection présidentielle du 28 décembre dernier. L'organisation sous-régionale annonce la levée immédiate de toutes les sanctions contre la Guinée et félicite le nouveau président Mamadi Doumbouia pour son élection. La CDAO appelle toutefois les autorités guinéennes à renforcer la démocratie, la bonne gouvernance et l'état de droit. Dans un contexte marqué ces dernières années par la repression de l'opposition, des arrestations, des suspensions de partis politiques et des médias. Pour rappel, ces sanctions avaient été imposées à la Guinée après le coup d'État de 2021 mené par Mamadi Doumbouia qui avait renversé le président Alpha Kondé. A la tête de la transition guinéenne pendant quatre ans, Mamadi Doumbouia a finalement remporté l'élection présidentielle de décembre 2025. Avec 86,72% des voix malgré sa promesse initiale de rendre le pouvoir aux civils.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Guinée  la Cédéao lève les sanctions après lélection de Doumbouya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tsTkM8lr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