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et devra payer une amende de 100 000 dollars. Elie Mandaou est à Dakar.</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700 000 dollars. L'entraîneur, Pape Thio, ainsi que les joueurs Ismail Assar et Elie Mandaou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La Fédération royale marocaine de football a également été sanctionnée. La réclamation du Maroc a été rejetée.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Je ne comprends pas pourquoi le Maroc a été sanctionné, alors que ce sont les joueurs sénégalais qui ont quitté le terrain.</w:t>
      </w:r>
    </w:p>
    <w:p>
      <w:pPr>
        <w:jc w:val="start"/>
      </w:pPr>
      <w:r>
        <w:rPr>
          <w:rFonts w:ascii="Arial" w:hAnsi="Arial" w:eastAsia="Arial" w:cs="Arial"/>
          <w:sz w:val="24"/>
          <w:szCs w:val="24"/>
          <w:b w:val="1"/>
          <w:bCs w:val="1"/>
          <w:i w:val="0"/>
          <w:iCs w:val="0"/>
        </w:rPr>
        <w:t xml:space="preserve">[00:02:28] Speaker 5: </w:t>
      </w:r>
      <w:r>
        <w:rPr>
          <w:rFonts w:ascii="Arial" w:hAnsi="Arial" w:eastAsia="Arial" w:cs="Arial"/>
          <w:sz w:val="24"/>
          <w:szCs w:val="24"/>
          <w:b w:val="0"/>
          <w:bCs w:val="0"/>
          <w:i w:val="0"/>
          <w:iCs w:val="0"/>
        </w:rPr>
        <w:t xml:space="preserve">Donc je trouve ça injuste. 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[00:02:42]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Elle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[00:03:10]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C'est ce qu'ils ont fait. Le Sénégal,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 de la Teranga. Le camp marocain, qui a donc également été sanctionné. Le défenseur du Paris Saint-Germain, Achraf Hakimi, qui écope de deux matchs de suspension, dont un ferme pour comportement antisportif. Le milieu. Ismaël Saïbiri,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avaient envahi la zone d'examen de la VAR et entravé le travail de l'arbitre. Ça ajoute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Toutes ces sanctions, elles s'appliquent uniquement pour les compétitions organisées par la CAF ?</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au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elle avait quitté la pelouse et aurait dû donc être déclarée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[00:06:04]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Merci beaucoup Benoît.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lourdes sanctions de la CAF contre le Sénégal et le Maroc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FJCIfb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2026-06-22T17:36:23+00:00</dcterms:created>
  <dcterms:modified xsi:type="dcterms:W3CDTF">2026-06-22T17:36:23+00:00</dcterms:modified>
</cp:coreProperties>
</file>

<file path=docProps/custom.xml><?xml version="1.0" encoding="utf-8"?>
<Properties xmlns="http://schemas.openxmlformats.org/officeDocument/2006/custom-properties" xmlns:vt="http://schemas.openxmlformats.org/officeDocument/2006/docPropsVTypes"/>
</file>