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Une façade aux vitres brisées et aux murs noircis, envahie par la végétation. A Khartoum, le musée national du Soudan se trouve en état de ruine. Autrefois, des trésors archéologiques millénaires étaient exposés dans ces galeries. Mais aujourd'hui, seuls quelques statues, trop lourdes pour être emportées, trônent encore au milieu des décombres.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De nombreux trésors ont été volés et plusieurs objets ont tout simplement été détruits ou endommagés. Le bâtiment principal a été touché par des obus.</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Selon les autorités soudanaises, plus de 22 musées ont été pillés ou détruits depuis le début de la guerre, en avril 2023. En tout, plus de 4000 artefacts ont disparu de la circulation, la plupart volés pour être revendus sur le marché noir. Mais le gouvernement dénonce aussi un acharnement conscient de la part des forces de soutien rapide, visant à éradiquer l'histoire du pays.</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 Ces pillages menacent de détruire notre culture et d'effacer notre histoire. C'est une attaque contre l'identité nationale et le patrimoine du Soudan.</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 Après de longs mois d'enquête, les autorités soudanaises ont récemment pu récupérer des centaines de pièces volées, 570 artefacts datant de la préhistoire à la période islamique, qui seront pour l'instant entreposées loin des regards, en attendant la réouverture des musées. – Sous-titrage FR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 Soudan, des musées détruits et de nombreuses œuvres pillées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ogco4GJf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