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à tous et merci de nous rejoindre pour Ici l'Europe, votre émission sur France 24 et Radio France Internationale. Nous allons nous pencher sur l'état de notre économie, singulièrement sur celui de la zone euro et de la Bulgarie qui vient de rejoindre justement l'euro. L'administration Trump a mis à rude épreuve cette semaine la relation transatlantique et l'ongle de choc économique d'une guerre commerciale, toujours annoncée, déstabilise les Européens. Et nous allons en parler tout de suite avec Valdis Dombrovskis. Bonjour. Bonjour. Vous êtes le commissaire européen en charge de l'économie et de la production. Productivité, ancien Premier ministre de Lettonie, du parti de droite qui correspond au PPE pour l'Union européenne. Alors, les plans de Trump sur le Groenland restent très flous. Faut-il remettre vite au vote du Parlement européen cet accord très déséquilibré de commerce qui implique 15% de droits de douane pour nous et 0% pour eux ?</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Tout d'abord, il est positif que nous ayons réussi à replacer... ...le dossier Groenland sur une base plus constructive. Le président Trump a donc supprimé en quelque sorte ses revendications à l'égard du Groenland, ainsi que ses menaces tarifaires à l'encontre de l'Union européenne. L'accent est désormais mis sur le renforcement de la sécurité dans la région arctique. Et les autorités danoises et groenlandaises soutenues par l'Union européenne ont indiqué qu'elles étaient disposées à en discuter. ...le Parlement européen... ...le Parlement européen... ...le Parlement européen, lui, a suspendu les procédures concernant l'accord commercial entre l'UE et les Etats-Unis. Le choix aujourd'hui est de l'accepter ou de poursuivre l'escalade commerciale. Nous avons évalué ces deux possibilités. Nous avons également observé l'expérience de la Chine, qui a opté pour cette escalade dans la guerre commerciale. Très vite, les droits de douane ont dépassé les 200% côté américain et côté chinois. Ce qui était prohibitif. La Chine a fini par renoncer à l'escalade et a conclu un accord qui était, comme le nôtre, asymétrique, en acceptant des droits de douane de 36%. En analysant tout cela, en anticipant sur de possibles retombées économiques fortes, car les relations d'échange et d'investissement entre l'UE et les Etats-Unis sont les plus importantes au monde, nous avons accepté un accord, même asymétrique, qui permet d'assurer plus de clarté et de prévisibilité.</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Les Etats-Unis ont néanmoins 40% de richesse, donc de PIB, de plus que nous. Leur prévision de croissance est à 3%. La zone euro, elle, devrait progresser de 1,2% en 2026. C'est très timide comme croissance. Pourquoi toujours cet écart de croissance et de compétitivité ?</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C'est vrai, l'UE est dépassée par plusieurs autres grandes économies. Certains chocs économiques expliquent cette croissance. Cette situation à court terme, comme les conséquences de l'agression de la Russie contre l'Ukraine, ou la nécessité de réduire notre dépendance à l'égard des combustibles fossiles russes. Mais en même temps, il y a aussi des facteurs structurels qui existent déjà depuis au moins 20 ans. La croissance de la productivité dans l'UE est plus lente que celle des autres grandes économies. C'est pourquoi l'une des premières initiatives de la Commission européenne a été la boussole de la compétitivité, qui présente tous les principaux facteurs affectant la compétitivité de l'UE, afin de relancer la croissance économique dans l'Union.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Valdis Dombrovskis, vous êtes en charge dans la Commission de la simplification, précisément, et certains disent qu'elle rime trop souvent dans l'esprit de la Commission, qui est donc plutôt tendance Parti populaire européen, avec justement suppression des normes environnementales, voire des régulations.</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En fait, la majorité des entreprises, qui sont en train de se défendre, indiquent que le fardeau administratif excessif est l'un des obstacles à leur activité commerciale et à l'investissement en Europe. Et les PME indiquent qu'il s'agit même du problème numéro un. Il est donc important que nous nous attaquions à cette charge administrative excessive. Par contre, nous avons été très clairs sur le fait que la simplification n'est pas synonyme de déréglementation. Nous n'abolissons pas nos normes sociales ou environnementales élevées. Nous ne supprimons pas nos objectifs européens. En matière de pacte vert, nous maintenons tout cela, mais nous nous concentrons sur la manière d'atteindre nos objectifs d'une manière plus simple et plus efficace. Et nous nous sommes fixés pour objectif, pendant ce mandat, de réduire la charge administrative globale pour les entreprises de 25% et de 35% pour les PME.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Monsieur Dombrovskis, votre Commission européenne a signé un accord commercial avec l'Inde, qui abaisse les droits de douane sur de nombreux articles, bien sûr, de part et d'autre, qui d'ailleurs suscite beaucoup moins la colère que celui avec les pays du Mercosur, que vous allez peut-être décider d'appliquer, de mettre en œuvre par avance. Comment vous expliquez tout cela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Nous constatons la prolifération des barrières douanières. Donc, il est important pour l'Union européenne de diversifier ses relations commerciales avec des partenaires fiables à travers le monde entier. Nous constatons que nous avons moins... moins de prévisibilité de la part de l'administration Trump sur la politique commerciale et ses droits de douane. La Chine a toujours été un partenaire difficile. Le marché chinois est bien plus fermé pour les biens et les entreprises venues d'Europe que notre marché l'est vis-à-vis de la Chine. C'est pourquoi nous mettons à nouveau l'accent sur les accords commerciaux. L'Union européenne est une superpuissance commerciale. Nous avons réalisé une étude d'impact cumulé des différents accords commerciaux conclus par l'UE, y compris le Mercosur, sur le secteur agroalimentaire. La conclusion est que cet impact cumulé est en fait positif. Non seulement en termes de volume commerciaux, mais aussi en termes de balance commerciale. Notre secteur agroalimentaire affiche un excédent commercial. Pour le Mercosur, le contingent de beurre et de beurre, l'oeuf sud-américain autorisé par exemple, est nettement inférieur à nos niveaux actuels d'importation en provenance du Mercosur. En plus de cela, nous avons créé un mécanisme de sauvegarde renforcé qui nous permet de réagir rapidement en cas de turbulence sur le marché.</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Pour en savoir plus sur l'état de l'économie européenne, nous vous proposons maintenant de nous tourner vers la Bulgarie qui a adopté l'euro au 1er janvier dernier. Comment ce pays balkanique a-t-il vécu ce premier mois, dans l'eurozone ? Nos reporters Elitsa Gadeva et Charlotte Prudhomme ont sillonné le pays pour y rencontrer les Bulgares avec de nouveaux billets et des pièces en poche.</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Bonjour. Bonjour. C'est génial. Bienvenue. Merci. Merci.</w:t>
      </w:r>
    </w:p>
    <w:p>
      <w:pPr>
        <w:jc w:val="start"/>
      </w:pPr>
      <w:r>
        <w:rPr>
          <w:rFonts w:ascii="Arial" w:hAnsi="Arial" w:eastAsia="Arial" w:cs="Arial"/>
          <w:sz w:val="24"/>
          <w:szCs w:val="24"/>
          <w:b w:val="1"/>
          <w:bCs w:val="1"/>
          <w:i w:val="0"/>
          <w:iCs w:val="0"/>
        </w:rPr>
        <w:t xml:space="preserve">[00:08:24] Speaker 4: </w:t>
      </w:r>
      <w:r>
        <w:rPr>
          <w:rFonts w:ascii="Arial" w:hAnsi="Arial" w:eastAsia="Arial" w:cs="Arial"/>
          <w:sz w:val="24"/>
          <w:szCs w:val="24"/>
          <w:b w:val="0"/>
          <w:bCs w:val="0"/>
          <w:i w:val="0"/>
          <w:iCs w:val="0"/>
        </w:rPr>
        <w:t xml:space="preserve">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[00:08:34] Speaker 6: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C'est un moyen pour la Bulgarie de faire connaître sa culture et son histoire. Une reconnaissance pour les efforts du pays, une reconnaissance pour la Bulgarie qui est au cœur de l'Europe par les décisions qui vont être prises pour des politiques auxquelles elle n'a pas participé jusqu'ici au sens aussi actif.</w:t>
      </w:r>
    </w:p>
    <w:p>
      <w:pPr>
        <w:jc w:val="start"/>
      </w:pPr>
      <w:r>
        <w:rPr>
          <w:rFonts w:ascii="Arial" w:hAnsi="Arial" w:eastAsia="Arial" w:cs="Arial"/>
          <w:sz w:val="24"/>
          <w:szCs w:val="24"/>
          <w:b w:val="1"/>
          <w:bCs w:val="1"/>
          <w:i w:val="0"/>
          <w:iCs w:val="0"/>
        </w:rPr>
        <w:t xml:space="preserve">[00:09:03] Speaker 4: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[00:09:10] Speaker 7: </w:t>
      </w:r>
      <w:r>
        <w:rPr>
          <w:rFonts w:ascii="Arial" w:hAnsi="Arial" w:eastAsia="Arial" w:cs="Arial"/>
          <w:sz w:val="24"/>
          <w:szCs w:val="24"/>
          <w:b w:val="0"/>
          <w:bCs w:val="0"/>
          <w:i w:val="0"/>
          <w:iCs w:val="0"/>
        </w:rPr>
        <w:t xml:space="preserve">La plupart de nos clients sont étrangers. L'entrée dans la zone euro va sûrement beaucoup nous aider. Ça va simplifier les choses. Nos clients veulent souvent payer. Nos clients veulent souvent payer. Nous avons déjà été payés en euros. Et maintenant, ils peuvent le faire.</w:t>
      </w:r>
    </w:p>
    <w:p>
      <w:pPr>
        <w:jc w:val="start"/>
      </w:pPr>
      <w:r>
        <w:rPr>
          <w:rFonts w:ascii="Arial" w:hAnsi="Arial" w:eastAsia="Arial" w:cs="Arial"/>
          <w:sz w:val="24"/>
          <w:szCs w:val="24"/>
          <w:b w:val="1"/>
          <w:bCs w:val="1"/>
          <w:i w:val="0"/>
          <w:iCs w:val="0"/>
        </w:rPr>
        <w:t xml:space="preserve">[00:09:24] Speaker 4: </w:t>
      </w:r>
      <w:r>
        <w:rPr>
          <w:rFonts w:ascii="Arial" w:hAnsi="Arial" w:eastAsia="Arial" w:cs="Arial"/>
          <w:sz w:val="24"/>
          <w:szCs w:val="24"/>
          <w:b w:val="0"/>
          <w:bCs w:val="0"/>
          <w:i w:val="0"/>
          <w:iCs w:val="0"/>
        </w:rPr>
        <w:t xml:space="preserve">L'adhésion à la zone euro a été un long parcours. Mais la Bulgarie est parvenue à remplir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Les taux d'intérêt à long terme ont été contenus, 4%, sous le seuil de référence. Contrôler l'inflation a été la tâche la plus ardue, selon cet économiste. Elle est considérée comme maîtrisée à 2,7% en moyenne en 2025.</w:t>
      </w:r>
    </w:p>
    <w:p>
      <w:pPr>
        <w:jc w:val="start"/>
      </w:pPr>
      <w:r>
        <w:rPr>
          <w:rFonts w:ascii="Arial" w:hAnsi="Arial" w:eastAsia="Arial" w:cs="Arial"/>
          <w:sz w:val="24"/>
          <w:szCs w:val="24"/>
          <w:b w:val="1"/>
          <w:bCs w:val="1"/>
          <w:i w:val="0"/>
          <w:iCs w:val="0"/>
        </w:rPr>
        <w:t xml:space="preserve">[00:09:57] Speaker 8: </w:t>
      </w:r>
      <w:r>
        <w:rPr>
          <w:rFonts w:ascii="Arial" w:hAnsi="Arial" w:eastAsia="Arial" w:cs="Arial"/>
          <w:sz w:val="24"/>
          <w:szCs w:val="24"/>
          <w:b w:val="0"/>
          <w:bCs w:val="0"/>
          <w:i w:val="0"/>
          <w:iCs w:val="0"/>
        </w:rPr>
        <w:t xml:space="preserve">À la suite des événements de 2022-2023, la guerre, les prix du pétrole, la hausse des prix de la main-d'oeuvre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[00:10:18] Speaker 4: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[00:10:42] Speaker 9: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[00:11:17] Speaker 4: </w:t>
      </w:r>
      <w:r>
        <w:rPr>
          <w:rFonts w:ascii="Arial" w:hAnsi="Arial" w:eastAsia="Arial" w:cs="Arial"/>
          <w:sz w:val="24"/>
          <w:szCs w:val="24"/>
          <w:b w:val="0"/>
          <w:bCs w:val="0"/>
          <w:i w:val="0"/>
          <w:iCs w:val="0"/>
        </w:rPr>
        <w:t xml:space="preserve">Certains commerçants ont profité de la transition économique pour augmenter les prix. Ce n'est pas le cas de Denitsa,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[00:11:28] Speaker 10: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[00:11:37] Speaker 4: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magasins. Mais des mythes sur la zone euro persistent, amplifiés par des médias sociaux biaisés.</w:t>
      </w:r>
    </w:p>
    <w:p>
      <w:pPr>
        <w:jc w:val="start"/>
      </w:pPr>
      <w:r>
        <w:rPr>
          <w:rFonts w:ascii="Arial" w:hAnsi="Arial" w:eastAsia="Arial" w:cs="Arial"/>
          <w:sz w:val="24"/>
          <w:szCs w:val="24"/>
          <w:b w:val="1"/>
          <w:bCs w:val="1"/>
          <w:i w:val="0"/>
          <w:iCs w:val="0"/>
        </w:rPr>
        <w:t xml:space="preserve">[00:11:50] Speaker 11: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[00:12:24] Speaker 12: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w:t>
      </w:r>
    </w:p>
    <w:p>
      <w:pPr>
        <w:jc w:val="start"/>
      </w:pPr>
      <w:r>
        <w:rPr>
          <w:rFonts w:ascii="Arial" w:hAnsi="Arial" w:eastAsia="Arial" w:cs="Arial"/>
          <w:sz w:val="24"/>
          <w:szCs w:val="24"/>
          <w:b w:val="1"/>
          <w:bCs w:val="1"/>
          <w:i w:val="0"/>
          <w:iCs w:val="0"/>
        </w:rPr>
        <w:t xml:space="preserve">[00:12:41] Speaker 9: </w:t>
      </w:r>
      <w:r>
        <w:rPr>
          <w:rFonts w:ascii="Arial" w:hAnsi="Arial" w:eastAsia="Arial" w:cs="Arial"/>
          <w:sz w:val="24"/>
          <w:szCs w:val="24"/>
          <w:b w:val="0"/>
          <w:bCs w:val="0"/>
          <w:i w:val="0"/>
          <w:iCs w:val="0"/>
        </w:rPr>
        <w:t xml:space="preserve">A chaque nouvelle adhésion à l'eurozone, la force de l'euro augmente.</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[00:13:07] Speaker 13: </w:t>
      </w:r>
      <w:r>
        <w:rPr>
          <w:rFonts w:ascii="Arial" w:hAnsi="Arial" w:eastAsia="Arial" w:cs="Arial"/>
          <w:sz w:val="24"/>
          <w:szCs w:val="24"/>
          <w:b w:val="0"/>
          <w:bCs w:val="0"/>
          <w:i w:val="0"/>
          <w:iCs w:val="0"/>
        </w:rPr>
        <w:t xml:space="preserve">La zone euro va nous offrir une formidable opportunité de nous développer encore. Il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[00:13:20] Speaker 4: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[00:13:44] Speaker 14: </w:t>
      </w:r>
      <w:r>
        <w:rPr>
          <w:rFonts w:ascii="Arial" w:hAnsi="Arial" w:eastAsia="Arial" w:cs="Arial"/>
          <w:sz w:val="24"/>
          <w:szCs w:val="24"/>
          <w:b w:val="0"/>
          <w:bCs w:val="0"/>
          <w:i w:val="0"/>
          <w:iCs w:val="0"/>
        </w:rPr>
        <w:t xml:space="preserve">La Bulgarie avait assez de signatures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En 2025, les réseaux sociaux pro-russes ont diffusé des campagnes de désinformation anti-zone euro. Les partis populistes et anti-OTAN espèrent tirer profit de ces campagnes pour des gains politiques, alors que des élections, les huitièmes en ce moment, sont en cours.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w:t>
      </w:r>
    </w:p>
    <w:p>
      <w:pPr>
        <w:jc w:val="start"/>
      </w:pPr>
      <w:r>
        <w:rPr>
          <w:rFonts w:ascii="Arial" w:hAnsi="Arial" w:eastAsia="Arial" w:cs="Arial"/>
          <w:sz w:val="24"/>
          <w:szCs w:val="24"/>
          <w:b w:val="1"/>
          <w:bCs w:val="1"/>
          <w:i w:val="0"/>
          <w:iCs w:val="0"/>
        </w:rPr>
        <w:t xml:space="preserve">[00:14:34] Speaker 7: </w:t>
      </w:r>
      <w:r>
        <w:rPr>
          <w:rFonts w:ascii="Arial" w:hAnsi="Arial" w:eastAsia="Arial" w:cs="Arial"/>
          <w:sz w:val="24"/>
          <w:szCs w:val="24"/>
          <w:b w:val="0"/>
          <w:bCs w:val="0"/>
          <w:i w:val="0"/>
          <w:iCs w:val="0"/>
        </w:rPr>
        <w:t xml:space="preserve">La corruption est endémique chez nous. L'éducation est dans un état déplorable, tout comme le système de santé.</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Bien sûr, ils en sont victimes. 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[00:14:54] Speaker 1: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[00:15:07] Speaker 4: </w:t>
      </w:r>
      <w:r>
        <w:rPr>
          <w:rFonts w:ascii="Arial" w:hAnsi="Arial" w:eastAsia="Arial" w:cs="Arial"/>
          <w:sz w:val="24"/>
          <w:szCs w:val="24"/>
          <w:b w:val="0"/>
          <w:bCs w:val="0"/>
          <w:i w:val="0"/>
          <w:iCs w:val="0"/>
        </w:rPr>
        <w:t xml:space="preserve">La Bulgarie a envoyé son représentant siéger au Conseil des gouverneurs de la Banque Centrale Européenne.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w:t>
      </w:r>
    </w:p>
    <w:p>
      <w:pPr>
        <w:jc w:val="start"/>
      </w:pPr>
      <w:r>
        <w:rPr>
          <w:rFonts w:ascii="Arial" w:hAnsi="Arial" w:eastAsia="Arial" w:cs="Arial"/>
          <w:sz w:val="24"/>
          <w:szCs w:val="24"/>
          <w:b w:val="1"/>
          <w:bCs w:val="1"/>
          <w:i w:val="0"/>
          <w:iCs w:val="0"/>
        </w:rPr>
        <w:t xml:space="preserve">[00:15:29] Speaker 2: </w:t>
      </w:r>
      <w:r>
        <w:rPr>
          <w:rFonts w:ascii="Arial" w:hAnsi="Arial" w:eastAsia="Arial" w:cs="Arial"/>
          <w:sz w:val="24"/>
          <w:szCs w:val="24"/>
          <w:b w:val="0"/>
          <w:bCs w:val="0"/>
          <w:i w:val="0"/>
          <w:iCs w:val="0"/>
        </w:rPr>
        <w:t xml:space="preserve">Valdis Dombrovskis, le passage de la Bulgarie à l'euro en 2026 sera-t-il synonyme de succès pour ce pays, la Bulgarie, le plus pauvre d'Europe ?</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Avec cette adhésion, la zone euro recouvre 84% de l'économie de l'UE. Cela permet de renforcer l'eurozone et le rôle international de l'euro, car il projette également la confiance. Cela positionne l'euro comme monnaie ouverte avec un pouvoir d'attraction sur de nouveaux membres. Si l'on considère le passage à l'euro en Bulgarie, il est arrivé au bout d'un processus préparatoire long et maîtrisé. Les enquêtes montrent que la population a bien été sensibilisée aux questions clés telles que la double circulation et le double affichage des prix. Et dans l'ensemble, l'impact de l'adhésion à la zone euro sur les prix reste très limité. En général, il se situe entre 0,1 à 0,3 points d'inflation supplémentaires à moyen terme. Il est plus que compensé par les économies de coûts que la Bulgarie réalisera grâce à la baisse des taux d'intérêt et des coûts de change, ainsi que par une meilleure transparence des prix.</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Merci monsieur le commissaire, merci Valdis Dombrovskis d'avoir été notre invité aujourd'hui. Merci à vous. Merci à vous de nous avoir suivis sur France 24 et Radio France Internationale. Restez sur nos antennes, l'actualité continue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Valdis Dombrovskis  LUE doit diversifier ses relations commerciales avec des partenaires fiables.mp4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1IUJQnf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