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Publié par le Bureau de la coordination des affaires humanitaires de l'ONU en lien avec le gouvernement malgache et les ONG, le plan humanitaire national confirme que la crise humanitaire dans le sud et le sud-est de Madagascar s'inscrit désormais dans la durée. Les causes sont identifiées. Fin 2024, une sécheresse prolongée avait fragilisé les populations. En 2025, des cyclones, des inondations et des invasions de criquets avaient détruit les moyens de subsistance. Tout cela faisant écho à la famine de 2021 qui avait déjà plongé des centaines de milliers de personnes dans une situation critique. Les priorités de ce plan sont la nutrition, l'accès à l'eau et aux services de santé. Dans un contexte de capacité humanitaire limité, les besoins financiers s'élèvent à 125 millions de dollars, aggravés par la suspension des fonds USAID qui limitent l'action humanitaire sur le terrain.</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La résultante sur le terrain, par exemple pour une ONG comme Action contre la faim, c'est moins d'interventions, moins de cliniques. Sur le terrain, moins de prises en charge dans les hôpitaux, dans les centres de santé, moins de transferts monétaires en assistance alimentaire pour les populations et donc une situation de vulnérabilité accrue pour ces personnes affectées.</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Installé au pouvoir depuis septembre 2025, il s'agit pour les nouvelles autorités d'un test de leur capacité à répondre à une crise structurelle alors que la saison cyclonique dure jusqu'en avril et menace d'aggraver l'insécurité alimentaire.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Crise à Madagascar  le gouvernement présente un plan humanitaire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DPK7bRot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