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 Bonjour Laure. — Bonjour Raphaël. — Et un projet de loi de finances définitivement adopté donc ce soir. Le texte a été beaucoup modifié par rapport à la version d'origine. Mais il y a effectivement moins de dépenses et surtout une augmentation des revenus, des recettes de l'État.</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 Effectivement. C'est selon qu'on regarde de la gauche ou de la droite de l'échiquier politique. Ce budget est qualifié différemment. Non socialiste selon une partie de la droite, d'austérité pour la gauche radicale, mais de compromis, si vous demandez, à la majorité présidentielle, avec des hausses de revenus effectivement pour l'État, plus d'impôts et de taxes en particulier de la part des entreprises. D'abord, la surtaxe sur les bénéfices des grandes entreprises, celle dont le chiffre d'affaires dépasse 1 milliard d'euros par an, elle est reconduite avec un total de gains attendus de 7,3 milliards d'euros. La CVE, la cotisation sur la valeur ajoutée des entreprises, ne baissera finalement pas. Là, le gouvernement en espère 1,3 milliard d'euros. Le PLF 2026 prévoit aussi la création d'une taxe holding qui est centrée sur les biens dits « somptuaires », ceux que vous et moi possédons, les yachts, les chevaux de course. Mais ça ne devrait pas rapporter plus de 100 millions d'euros environ.</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 Et en revanche, les pauvres particuliers que nous sommes aussi sont bel et bien épargnés.</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 Oui, pour une partie en tout cas, parce qu'il n'y a par exemple pas de gel du barème de l'impôt sur le revenu. L'inflation sera donc bien prise en compte. Les retraités aussi conserveront leur abattement de 10% de l'impôt sur le revenu. Et ils échappent aussi au gel des pensions. Pas de taxe Zucman, certes, ou de nouvelle version de l'impôt sur la fortune. Mais le texte prévoit la prolongation de la CDHR, la contribution différentielle sur les hauts revenus. Elle a été instaurée en 2025. C'est un taux minimal d'imposition de 20% pour les personnes seules dont les revenus dépassent 250 000 euros par an, 500 000 euros pour celles qui sont mariées ou en paxe, ou paxées. Le gain est de 650. 50 millions d'euros pour cette année. A noter aussi cette taxe de 2 euros sur les petits colis qui va entrer en vigueur à compter du 1er mars. Ça devrait viser des revenus autour de 400 millions d'euros selon le gouvernement, qui en profite pour juguler cet afflux incessant de petits colis en provenance d'Asie et plus particulièrement de Chine. On pourrait même parler de taxes chiines.</w:t>
      </w:r>
    </w:p>
    <w:p>
      <w:pPr>
        <w:jc w:val="start"/>
      </w:pPr>
      <w:r>
        <w:rPr>
          <w:rFonts w:ascii="Arial" w:hAnsi="Arial" w:eastAsia="Arial" w:cs="Arial"/>
          <w:sz w:val="24"/>
          <w:szCs w:val="24"/>
          <w:b w:val="1"/>
          <w:bCs w:val="1"/>
          <w:i w:val="0"/>
          <w:iCs w:val="0"/>
        </w:rPr>
        <w:t xml:space="preserve">[00:02:11] Speaker 1: </w:t>
      </w:r>
      <w:r>
        <w:rPr>
          <w:rFonts w:ascii="Arial" w:hAnsi="Arial" w:eastAsia="Arial" w:cs="Arial"/>
          <w:sz w:val="24"/>
          <w:szCs w:val="24"/>
          <w:b w:val="0"/>
          <w:bCs w:val="0"/>
          <w:i w:val="0"/>
          <w:iCs w:val="0"/>
        </w:rPr>
        <w:t xml:space="preserve">— À côté des penses, que prévoit la dernière mouture du projet de loi de finances 2026 ?</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 Eh bien Sébastien Lecornu se vante d'un budget où, dites pour la première fois depuis longtemps, la dépense ralentit réellement. Le Premier ministre estime que la progression de la dépense publique sera de 0,9% en 2026, moins rapide donc que les 1,7% de croissance pour 2025. Effectivement, les dépenses sont revues à la baisse, avec une baisse globale des crédits de fonctionnement des ministères qui devront serrer la ceinture, à une exception notable près le ministère de la Défense. Là, les dépenses vont augmenter de 6,5 milliards d'euros. Pour porter le but... — Le budget global du ministère à 57,1 milliards d'euros pour 2021, c'est moins qu'initialement annoncé, mais ça représente tout de même une hausse de 13%. C'est le gros dossier sur lequel le gouvernement ne veut pas faire de compromis à cause de cette période d'incertitude géopolitique majeure. En revanche, plusieurs programmes voient effectivement leur budget amputé. C'est le cas par exemple du programme d'investissement France 2030, moins 1,1 milliard d'euros. Le fonds vert pour la transition écologique baisse à 850 millions d'euros. Et puis, l'Institut national de la consommation, qu'on connaît surtout grâce à son magazine 60 millions de consommateurs, eh bien, sa disparition est actée. Mais il y a aussi des dépenses qui sont maintenues, voire créées ou augmentées. C'est le cas par exemple de ma prime Rénov' avec des dépenses qui restent à 3,6 milliards pour l'année prochaine. La prime d'activité de 50 euros en moyenne par mois sera versée à 3 millions de personnes au revenu modeste. Ça devrait coûter 700 millions d'euros à l'État. Il y aura la généralisation des repas à 1 euro pour les étudiants, une grande demande des socialistes, et puis la revalorisation des aides personnalisées, aux logements mieux connus sous le nom des APL.</w:t>
      </w:r>
    </w:p>
    <w:p>
      <w:pPr>
        <w:jc w:val="start"/>
      </w:pPr>
      <w:r>
        <w:rPr>
          <w:rFonts w:ascii="Arial" w:hAnsi="Arial" w:eastAsia="Arial" w:cs="Arial"/>
          <w:sz w:val="24"/>
          <w:szCs w:val="24"/>
          <w:b w:val="1"/>
          <w:bCs w:val="1"/>
          <w:i w:val="0"/>
          <w:iCs w:val="0"/>
        </w:rPr>
        <w:t xml:space="preserve">[00:03:51] Speaker 1: </w:t>
      </w:r>
      <w:r>
        <w:rPr>
          <w:rFonts w:ascii="Arial" w:hAnsi="Arial" w:eastAsia="Arial" w:cs="Arial"/>
          <w:sz w:val="24"/>
          <w:szCs w:val="24"/>
          <w:b w:val="0"/>
          <w:bCs w:val="0"/>
          <w:i w:val="0"/>
          <w:iCs w:val="0"/>
        </w:rPr>
        <w:t xml:space="preserve">Alors, est-ce que ce budget atteint ses objectifs en termes de dette, de déficit, et pour assurer les marchés ?</w:t>
      </w:r>
    </w:p>
    <w:p>
      <w:pPr>
        <w:jc w:val="start"/>
      </w:pPr>
      <w:r>
        <w:rPr>
          <w:rFonts w:ascii="Arial" w:hAnsi="Arial" w:eastAsia="Arial" w:cs="Arial"/>
          <w:sz w:val="24"/>
          <w:szCs w:val="24"/>
          <w:b w:val="1"/>
          <w:bCs w:val="1"/>
          <w:i w:val="0"/>
          <w:iCs w:val="0"/>
        </w:rPr>
        <w:t xml:space="preserve">[00:03:57] Speaker 2: </w:t>
      </w:r>
      <w:r>
        <w:rPr>
          <w:rFonts w:ascii="Arial" w:hAnsi="Arial" w:eastAsia="Arial" w:cs="Arial"/>
          <w:sz w:val="24"/>
          <w:szCs w:val="24"/>
          <w:b w:val="0"/>
          <w:bCs w:val="0"/>
          <w:i w:val="0"/>
          <w:iCs w:val="0"/>
        </w:rPr>
        <w:t xml:space="preserve">Alors, c'est le cas effectivement, mais en partie seulement. Il faut savoir qu'avec ce budget, le déficit de la France va baisser. 5,4% du PIB pour 2025, ce sera 5% normalement en 2026. C'est moins ambitieux que le projet d'origine qui visait un déficit à 4,7%, mais ça s'oriente effectivement dans la bonne direction, la baisse, avec un objectif final qui est quand même de 3%. 3% du PIB en déficit à horizon 2029, pour entrer dans les clous de ce qui est demandé par l'Union européenne. Alors, ces efforts sont certes vertueux, mais ils ne suffiront pas à enrayer la hausse de la dette, qui va continuer à augmenter. Elle était de 117,4% au troisième trimestre 2025, elle est attendue à 118,2% en 2026. Et même si ça n'est pas un renversement de situation pour la France, qui continue à dépenser beaucoup, eh bien c'est quand même un signal positif qui est envoyé au marché. Avant même l'adoption de ce fameux PLF 2021, eh bien le CAC 40 est reparti à la hausse, et surtout le spread, cette différence de taux entre la France et l'Allemagne, a réduit cette différence de taux auquel la France emprunte sur les marchés. Généralement, l'Allemagne, c'est la bonne élève à laquelle on se compare. Eh bien là, le spread est passé sous les 59 points de base, c'est bien moins que les 72% qu'on avait constatés au mois d'octobre dernier.</w:t>
      </w:r>
    </w:p>
    <w:p>
      <w:pPr>
        <w:jc w:val="start"/>
      </w:pPr>
      <w:r>
        <w:rPr>
          <w:rFonts w:ascii="Arial" w:hAnsi="Arial" w:eastAsia="Arial" w:cs="Arial"/>
          <w:sz w:val="24"/>
          <w:szCs w:val="24"/>
          <w:b w:val="1"/>
          <w:bCs w:val="1"/>
          <w:i w:val="0"/>
          <w:iCs w:val="0"/>
        </w:rPr>
        <w:t xml:space="preserve">[00:05:10] Speaker 1: </w:t>
      </w:r>
      <w:r>
        <w:rPr>
          <w:rFonts w:ascii="Arial" w:hAnsi="Arial" w:eastAsia="Arial" w:cs="Arial"/>
          <w:sz w:val="24"/>
          <w:szCs w:val="24"/>
          <w:b w:val="0"/>
          <w:bCs w:val="0"/>
          <w:i w:val="0"/>
          <w:iCs w:val="0"/>
        </w:rPr>
        <w:t xml:space="preserve">Merci Laure, c'était l'économie avec Laure Manon.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PLF 2026 enfin adopté, le texte final très différent de la version initiale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wMdWndIs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