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 went to law school in Houston. I met my wife here in Houston. We moved to Katy about 12, 13 years ago. I hate traffic and commuting, so Katy it was. Back in 2018, my partner and I split, and I started this firm, which we rebranded as The Debt Defenders. One of the things that I love about Lawmatics is all the reporting and the analytics. So the things that I track is obviously ROI on each different marketing channel is hugely important, but also the cost per lead, the cost per acquisition, and also too for my intake specialists. I can see at any point in time, you know, what their conversion rate is.</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I look at how many of the leads that come in and how many of those were able to convert. Not just as a company, but individually for the intake specialist.</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And so we monitor all that stuff very carefully just to make sure that, you know, the salespeople don't have more work than they can handle. That's literally on the homepage dashboard is, you know, the lead volume and stuff on a daily, weekly, monthly basis. Just having those analytics and that dashboard there has helped me as the business owner decide which of my marketing is working and what's not working. And I've been able to pour gasoline on and really blow it up and just to get a significant number of leads.</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Some of the things that I've implemented because of the reporting is better training for our intake specialists, knowing where they lack and where they need to improve to actually hit their monthly goals as well as yearly goals. We've been able to go from a hundred clients to over 300 in a month, so we want to just keep going and pushing for higher numbers every time.</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You can't grow a business without marketing, you just can't, right? And having the data and the insight as far as what works and what doesn't work is vital. Otherwise you're just throwing money away. Lawmatics has really helped us with that insight and know what's working and what's not working.</w:t>
      </w:r>
    </w:p>
    <w:p>
      <w:pPr>
        <w:jc w:val="start"/>
      </w:pPr>
      <w:r>
        <w:rPr>
          <w:rFonts w:ascii="Arial" w:hAnsi="Arial" w:eastAsia="Arial" w:cs="Arial"/>
          <w:sz w:val="24"/>
          <w:szCs w:val="24"/>
          <w:b w:val="1"/>
          <w:bCs w:val="1"/>
          <w:i w:val="0"/>
          <w:iCs w:val="0"/>
        </w:rPr>
        <w:t xml:space="preserve">[00:02:32] Speaker 2: </w:t>
      </w:r>
      <w:r>
        <w:rPr>
          <w:rFonts w:ascii="Arial" w:hAnsi="Arial" w:eastAsia="Arial" w:cs="Arial"/>
          <w:sz w:val="24"/>
          <w:szCs w:val="24"/>
          <w:b w:val="0"/>
          <w:bCs w:val="0"/>
          <w:i w:val="0"/>
          <w:iCs w:val="0"/>
        </w:rPr>
        <w:t xml:space="preserve">Knowing these numbers helps me do my job because I'm able to see where we're at, not just on a monthly basis, but on a daily basis, individually and as a company.</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Our plans are to expand into other states, and that's something that we're looking at doing for next year. While we're based in Katy, we practice statewide in Texas. Lawmatics will definitely be able to help us do that and be able to track each of those states independently.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Houston Bankruptcy Firm Thrives with Data-informed Marketing.mp4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3aY9PrVo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