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Personal injury legal work comes demand letters, a lot of demand letters. Whether firms write in-house or outsource to unsecure services, demands are prone to costly human error and eat up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AI-Generated Legal Demands Eliminating Manual Entry.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EpTnOW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