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was talking to my four-year-old last week when she noticed I was not doing well. I had to come here today and talk to some important people. She knows that her aunt died and that somebody caused it to happen. She told me that there are no bad people and that everyone makes mistakes. She has Ney's spirit. The deep distress our family feels because of Ney's loss is in such a violent and unnecessary way is complicated by feelings of disbelief, distress, and desperation for change.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Renee Goods brother testifies on Capitol Hill.mp4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q401Qv3W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