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So, do you guys have any advice for founders who are building in general, but also with voice AI?</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One thing that Sian and I have sort of evolved to is there's so much out there in the form of best practices and founder content, there's so much dogma associated with just being a founder that I think the pro tip is perspectives are nice and there are some frameworks that are helpful, but there's nothing more helpful and impactful than just lived experience and just charging through and just being a founder and not thinking the dogma is what it really is. You kind of learn that everybody has an opinion, but you have to sort of figure out what works best for you in your organization in terms of driving it to success. And I think for a lot of folks that are sort of on the precipice of becoming founders or when they're in it really early, they kind of get caught up in that groupthink in a way that I think is less than productive. So yeah, so the pro tip there is like advice is great, but you know, charge your own path.</w:t>
      </w:r>
    </w:p>
    <w:p>
      <w:pPr>
        <w:jc w:val="start"/>
      </w:pPr>
      <w:r>
        <w:rPr>
          <w:rFonts w:ascii="Arial" w:hAnsi="Arial" w:eastAsia="Arial" w:cs="Arial"/>
          <w:sz w:val="24"/>
          <w:szCs w:val="24"/>
          <w:b w:val="1"/>
          <w:bCs w:val="1"/>
          <w:i w:val="0"/>
          <w:iCs w:val="0"/>
        </w:rPr>
        <w:t xml:space="preserve">[00:01:07] Speaker 1: </w:t>
      </w:r>
      <w:r>
        <w:rPr>
          <w:rFonts w:ascii="Arial" w:hAnsi="Arial" w:eastAsia="Arial" w:cs="Arial"/>
          <w:sz w:val="24"/>
          <w:szCs w:val="24"/>
          <w:b w:val="0"/>
          <w:bCs w:val="0"/>
          <w:i w:val="0"/>
          <w:iCs w:val="0"/>
        </w:rPr>
        <w:t xml:space="preserve">It's really funny that you mentioned that because one of our unofficial company values is beware the dogma. We were going through a phase where we like really grew as a company and we immediately reached for like that enterprise software growth playbook that's common. And part of the reason why you guys have unlimited concurrency with no enterprise agreement is because we realized that's not how our customers pay for and buy AI products. They want flexibility. They want to know that this is a company that they can scale and grow with. And kind of like letting go of that traditional playbook has allowed us to serve our customers and keep them really happy. So I think that's really great advice. Thank you so much for sharing that with us, Mo.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Beware the Dogma Building Earmark.mp4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7tE9FHdq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2026-10-22T21:17:24+00:00</dcterms:created>
  <dcterms:modified xsi:type="dcterms:W3CDTF">2026-10-22T21:17:24+00:00</dcterms:modified>
</cp:coreProperties>
</file>

<file path=docProps/custom.xml><?xml version="1.0" encoding="utf-8"?>
<Properties xmlns="http://schemas.openxmlformats.org/officeDocument/2006/custom-properties" xmlns:vt="http://schemas.openxmlformats.org/officeDocument/2006/docPropsVTypes"/>
</file>