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Remember DeepSeek, the Chinese startup that shocked the world in early 2025 with a powerful AI model that seemed to have come out of nowhere? That ushered in a massive AI boom in China. Over the last few months, six Chinese AI and chip firms have raised more than $3 billion US through IPOs here in Hong Kong. But is this all just hype? Analysts tell me when it comes to the most advanced AI models, China still lags behind the US. Some top Chinese AI developers have even said that the gap may be widening for two reasons, chips and capital. US export controls bar Chinese companies from getting cutting-edge chips, and they don't have as much money as American tech giants. But China is still very much in the race. The AI frenzy over the past year shows just how fast Chinese companies can advance under pressure. Beijing has also made AI a top national priority. Showering companies with favorable policy and tens of billions of dollars worth of investments. And there are signs that Chinese AI may be winging in one key area, real-life applications. From ordering groceries on your behalf to assembling cars. And humanoid robots are being developed with the goal of taking over factory floor and household duties. All scenarios that could ultimately determine the future of the AI race.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China overtaking the US in AI.mp4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wMb2hcB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