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refers to the consideration of environmental, social and governance factors alongside financial factors in investment decision-making processes. Many investors are looking to incorporate ESG factors into the investment process alongside traditional financial analysis. We understand sustainability challenges within the built environment. We work within your organisation to both plan and execute a sustainability strategy that is measurable and can be continuously improved. Sustain Quality's route to ESG in three steps. Step 1. The survey. We identify what is important for your organisation. We review existing policies and actions related to those important issues. Then we create an achievable and reliable action plan. Step 2. The action plan. We provide support on delivering the action plan. The ECO Audit is a tailor-made assessment which will introduce ESG strategies, educate and, engage your organisation in a sustainable culture aligned with the United Nations Sustainable Development Goals, such as Net Zero Carbon Strategy, Carbon Counting, Life Cycle Assessment, Environmental Policy, Energy Feasibility Studies, Workshops. Third-party certification is an assessment based on a suitable third-party certification scheme such as ResetAir, BREEAM in use and other assessments. Step 3. Continuous improvement. Celebrate and keep developing the action plan to continuously improve ESG strategies. Contact us. www.sustainquality.co.uk info at sustainquality.co.uk or call us at 01372 438 039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ESG - environment, social and governance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