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Entrepreneurial Intention of Students in Higher Education Institutions within the Network of the Upper Central Region of Thailand. This article is written by two authors. First author Amphal Navivongsathian. Second author Pattarata Rungruang. Contribution and originality of the study is that, this study will be used in policy decision making for the management of the teaching learning process in Thai higher education institutions, including business incubation centers, to produce graduates with entrepreneurial character who are aware of societal and global changes and can become successful in the business world. This research aim to analyze factors affecting students entrepreneurial intention in higher education institutions within the network of the upper central region of Thailand. The primary data was collected by online questionnaire sent to 400 samples, obtained by a random sampling method that selected students from both public and private institutions. The structural equation model was applied for the analysis. The result shows that knowledge and skills in entrepreneurship, motivation, success, and determination all affect the entrepreneurial intention of students. The model is consistent with the empirical data, with statistical results as, 2 equals 537.54, Df. equals 289, 2 slash Df. equals 1.860, P value equals 0.060, Min slash Df equals 1.860, Gfi equals 0.950, Tli equals 0.990, Agf equals 0.996, Cfi equals 0.991, Rmc equals 0.042, at the level of 0.05 statistical significance. Thanks for watching this video of Humanities and Social Sciences Letters Volume 8 Issue Number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Entrepreneurial Intention of Students in Higher Education Institutions Within the Network of the Upp.mp4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