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Italy, different flowers have different meanings. Chrysanthemums, for example, are associated with funerals and sadness. At HSBC, we never underestimate the importance of local knowledge. HSBC, the world's 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sell more and more washing machines in India. Find out why. In India?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you're going to do business internationally, you should be with a bank that knows about international business. HSBC Commercial Banking spans 64 countries and territories around the globe.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at this. With your machines, I make ten times more less than I used to. Have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 business success is out there. Is your bank.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some Asian cities, it's considered acceptable for a commuter to fall asleep on the shoulder of a stranger. In New York, it's quite a different story. Of course, it could always adapt. We're the global bank that never underestimates the importance of local knowledge. HSBC, the world's local bank.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English believe it's a slur on your host's food if you don't clear your plate. Whereas the Chinese feel you're questioning their generosity if you do. At HSBC, we never underestimate the importance of local knowledge. Which is why we have local banks staffed by local people in over 80 countries across the globe. Okay. HSBC, the world's local bank.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Russia. In America, if you hit a hole in one, you're expected to buy everyone a drink. However, in Japan, it's traditional to buy your playing partners expensive gifts. Same old. At HSBC, we never underestimate the importance of local knowledge. Nice. HSBC, the world's local bank.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Funny, But True Cultural Differences.mp4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