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Faced with a dispute, I think C-level executives have to focus on a number of things, but maybe the top three would be, one, do I have a complete command of all the facts that surround this issue and this potential dispute? And if I don't, then how am I going to fill in those gaps so that I know every aspect of what happened so that I can properly defend the tax treatment that I applied to those facts? So know your facts and figure out what you might have to fill in and go back and make sure that you understand. Make sure your records are intact. Make sure you're ready. So I guess maybe the banner would be, be proactive, number one. Number two, challenge with information sharing, need for consistency. Cross-border information sharing is on the increase. I know here in the U.S., we've had a number of instances where the IRS has come in making requests on behalf of treaty partners, which is something they're permitted to do under the tax treaties. They come in, they make a request on behalf of, we've had Spain, we've had Poland, we've had Kazakhstan, where they've come in as the IRS saying on behalf of our treaty partner, we need you to answer this question. So this closing in of the world, if you will, and the information sharing and the need for consistency is more critical today than ever. And then I think the third thing that a C-level executive or the head of a tax function really needs to be aware of and keep at the front of their mind is, how can I help this situation? How can I diffuse it before there's a problem? So proactive, but more than just being ready, think about a voluntary disclosure. It really does offer great opportunities to engage with the revenue authority, address your issues, possibly avoid the imposition of penalties, and really move things along so that you don't have to worry about something two years down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3 Top Tips for C-Level Executives.mp4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