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Faced with a dispute, I think C-level executives have to focus on a number of things, but maybe the top three would be, one, do I have a complete command of all the facts that surround this issue and this potential dispute? And if I don't, then how am I going to fill in those gaps so that I know every aspect of what happened so that I can properly defend the tax treatment that I applied to those facts? So know your facts and figure out what you might have to fill in and go back and make sure that you understand. Make sure your records are intact. Make sure you're ready. So I guess maybe the banner would be, be proactive, number one. Number two, challenge with information sharing, need for consistency. Cross-border information sharing is on the increase. I know here in the U.S., we've had a number of instances where the IRS has come in making requests on behalf of treaty partners, which is something they're permitted to do under the tax treaties. They come in, they make a request on behalf of, we've had Spain, we've had Poland, we've had Kazakhstan, where they've come in as the IRS saying on behalf of our treaty partner, we need you to answer this question. So this closing in of the world, if you will, and the information sharing and the need for consistency is more critical today than ever. And then I think the third thing that a C-level executive or the head of a tax function really needs to be aware of and keep at the front of their mind is, how can I help this situation? How can I diffuse it before there's a problem? So proactive, but more than just being ready, think about a voluntary disclosure. It really does offer great opportunities to engage with the revenue authority, address your issues, possibly avoid the imposition of penalties, and really move things along so that you don't have to worry about something two years down the road.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Tax Audits and Disputes 3 Top Tips for C-Level Executives.mp4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