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risk mitigation techniques commonly employed in financial management. Diversification of investments. Diversifying investment portfolios across different asset classes, sectors, industries, and geographic regions can help reduce exposure to specific risks and minimize the impact of adverse market movements. By spreading investments across a variety of assets, businesses can mitigate concentration risk and enhance portfolio resilience. Asset Liability Management. Implement Asset Liability Management, OM, strategies to match the maturity, duration, and cash flow profiles of assets and liabilities. OM helps businesses manage interest rate risk, liquidity risk, and funding requirements effectively by aligning asset and liability durations and managing cash flow mismatches. Hedging Strategies. Utilize hedging strategies, such as derivatives, e.g., options, futures, swaps, to mitigate various financial risks, including currency risk, interest rate risk, commodity price risk, and credit risk. Hedging allows businesses to protect against adverse price movements and volatility while maintaining exposure to underlying assets or liabilities. Insurance Coverage. Use insurance policies to transfer and mitigate certain types of financial risks, such as property and casualty risks, liability risks, business interruption risks, and key person risks. Insurance coverage provides financial protection against unexpected losses and liabilities, reducing the impact on business operations and financial resources. Stress Testing and Scenario Analysis. Use risk stress testing and scenario analysis to assess the resilience of financial portfolios, business operations, and balance sheets under adverse conditions and extreme scenarios. By simulating potential risk scenarios, businesses can identify vulnerabilities, quantify potential losses, and develop contingency plans to mitigate risks effectively. Risk Transfer and Contractual Protections. Implement contractual protections, risk-sharing agreements, and indemnification clauses with counterparties, suppliers, customers, and business partners to allocate and transfer certain financial risks contractually. Use legal agreements, such as warranties, guarantees, and insurance provisions, to mitigate potential liabilities and disputes. Cash Flow Management. Implement effective cash flow management practices to optimize liquidity, working capital, and cash reserves. Monitor cash flows, manage receivables and payables, maintain adequate cash buffers, and establish contingency funding sources to ensure liquidity during periods of financial stress or uncertainty. Financial Controls and Internal Policies. Establish robust financial controls, internal policies, and procedures to mitigate operational risks, fraud risks, and compliance risks. Implement segregation of duties, authorization controls, reconciliations, and internal audits to safeguard assets, prevent financial misstatements, and ensure regulatory compliance. Contingency Planning and Business Continuity. Develop contingency plans and business continuity strategies to mitigate the impact of potential disruptions, emergencies, or crises on business operations and financial performance. Identify critical functions, dependencies, and recovery objectives, and establish contingency measures, alternative arrangements, and crisis response protocols to maintain business continuity and resilience. Regular Monitoring and Review. Continuously monitor, review, and assess financial risks, performance metrics, and risk management practices to ensure effectiveness and responsiveness to changing market conditions, emerging risks, and business priorities. Regularly update risk assessments, evaluate mitigation strategies, and adjust risk management frameworks as needed to maintain alignment with business objectives and risk appetite. By implementing these risk mitigation techniques in financial management, businesses can enhance their ability to identify, assess, and manage financial risks effectively, thereby safeguarding their financial health, stability, and long-term viability. Proactive risk management practices enable businesses to anticipate, mitigate, and adapt to potential threats, ultimately enhancing resilience and sustaining value creation.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Risk Mitigation Techniques in Financial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