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LMS Portals. To be effective, corporate training and employee development programs require a great deal of structure and planning. While some training objectives can be accomplished through the completion of a single course, others require a series of courses completed in a specific sequence to ensure that the employee moves through a logical learning progression in order to achieve a comprehensive training goal. A learning path combines a group of courses that the employee must complete in a specific order. Some learning management systems now allow you to combine any number of courses into a learning path for delivery to your employees. Ideally, the LMS will allow you to choose the courses that you want included in your learning path, as well as the order in which they are to be taken. With this approach, your employees cannot access any specific course until they have completed the previous courses on that path. Learning paths provide a milestone-based approach to achieve an overall learning objective. Utilizing learning paths in a corporate LMS can benefit your training program in several ways. In corporate training, the use of learning paths adds structure to your program and gives you the ability to control the order in which courses are assigned. This structure is especially beneficial for more complex learning objectives that require a training progression. For employees, the use of learning paths creates a roadmap for them to achieve their training goals, keeping them on track and engaged along the way. By sequencing courses, employees can focus on the achievement of each milestone without feeling overwhelmed. For administrators and instructors, the use of learning paths can save time as it allows you to create, deliver, and monitor large chunks of training content as a single entity. When employees complete a course, they are automatically enrolled in the next course in sequence with no additional administrative effort required. At LMS Portals, we provide a SAS-based, multi-tenant learning management system that allows our clients and partners to launch and manage any number of dedicated, customized corporate training environments, or portals, on demand. Each portal you launch includes an embedded course development engine along with a learning path creation engine to combine and structure your courses into logical learning paths. We also offer a complete library of ready-made courses covering most every aspect of corporate training and employee development. Visit us at lmsportals.com to learn more. Thank you for watching. www.lmsportals.com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Learning Paths in a Corporate LMS.mp4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